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5FD4" w14:textId="55725F64" w:rsidR="00C411D8" w:rsidRPr="007F05F0" w:rsidRDefault="000057C1" w:rsidP="000057C1">
      <w:pPr>
        <w:spacing w:after="0"/>
        <w:jc w:val="center"/>
        <w:rPr>
          <w:rFonts w:ascii="Cambria" w:hAnsi="Cambria" w:cs="Calibri Light"/>
          <w:color w:val="A7A9AC"/>
          <w:sz w:val="18"/>
          <w:szCs w:val="18"/>
          <w14:ligatures w14:val="standardContextual"/>
          <w14:numForm w14:val="oldStyle"/>
        </w:rPr>
      </w:pPr>
      <w:r w:rsidRPr="007F05F0">
        <w:rPr>
          <w:rFonts w:ascii="Cambria" w:hAnsi="Cambria" w:cs="Calibri Light"/>
          <w:color w:val="A7A9AC"/>
          <w:sz w:val="18"/>
          <w:szCs w:val="18"/>
          <w14:ligatures w14:val="standardContextual"/>
          <w14:numForm w14:val="oldStyle"/>
        </w:rPr>
        <w:t>Advanced Placement Summer Institute</w:t>
      </w:r>
      <w:r w:rsidR="00FD5082">
        <w:rPr>
          <w:rFonts w:ascii="Cambria" w:hAnsi="Cambria" w:cs="Calibri Light"/>
          <w:color w:val="A7A9AC"/>
          <w:sz w:val="18"/>
          <w:szCs w:val="18"/>
          <w14:ligatures w14:val="standardContextual"/>
          <w14:numForm w14:val="oldStyle"/>
        </w:rPr>
        <w:t xml:space="preserve"> 2021</w:t>
      </w:r>
    </w:p>
    <w:p w14:paraId="44901E1A" w14:textId="08216999" w:rsidR="000057C1" w:rsidRPr="007F05F0" w:rsidRDefault="000057C1" w:rsidP="000057C1">
      <w:pPr>
        <w:spacing w:after="0"/>
        <w:jc w:val="center"/>
        <w:rPr>
          <w:rFonts w:ascii="Cambria" w:hAnsi="Cambria" w:cstheme="majorHAnsi"/>
          <w:color w:val="A7A9AC"/>
          <w:sz w:val="20"/>
          <w:szCs w:val="20"/>
          <w14:ligatures w14:val="standardContextual"/>
          <w14:numForm w14:val="oldStyle"/>
        </w:rPr>
      </w:pPr>
      <w:r w:rsidRPr="007F05F0">
        <w:rPr>
          <w:rFonts w:ascii="Cambria" w:hAnsi="Cambria" w:cstheme="majorHAnsi"/>
          <w:color w:val="A7A9AC"/>
          <w:sz w:val="20"/>
          <w:szCs w:val="20"/>
          <w14:ligatures w14:val="standardContextual"/>
          <w14:numForm w14:val="oldStyle"/>
        </w:rPr>
        <w:t>University of Arkansas at Little Rock</w:t>
      </w:r>
    </w:p>
    <w:p w14:paraId="01534A0D" w14:textId="04DCCC5B" w:rsidR="000057C1" w:rsidRPr="007F05F0" w:rsidRDefault="000057C1" w:rsidP="000057C1">
      <w:pPr>
        <w:spacing w:after="360"/>
        <w:jc w:val="center"/>
        <w:rPr>
          <w:rFonts w:ascii="Cambria" w:hAnsi="Cambria" w:cstheme="majorHAnsi"/>
          <w:color w:val="6E2639"/>
          <w:sz w:val="22"/>
          <w14:ligatures w14:val="standardContextual"/>
          <w14:numForm w14:val="oldStyle"/>
        </w:rPr>
      </w:pPr>
      <w:r w:rsidRPr="007F05F0">
        <w:rPr>
          <w:rFonts w:ascii="Cambria" w:hAnsi="Cambria" w:cstheme="majorHAnsi"/>
          <w:color w:val="6E2639"/>
          <w:sz w:val="22"/>
          <w14:ligatures w14:val="standardContextual"/>
          <w14:numForm w14:val="oldStyle"/>
        </w:rPr>
        <w:t>Advanced Placement English Literature and Composition</w:t>
      </w:r>
    </w:p>
    <w:p w14:paraId="2A11E8A7" w14:textId="1AB81668" w:rsidR="000057C1" w:rsidRPr="007F05F0" w:rsidRDefault="000057C1" w:rsidP="00F9022B">
      <w:pPr>
        <w:pStyle w:val="Title"/>
        <w:jc w:val="center"/>
        <w:rPr>
          <w:b/>
          <w:bCs/>
          <w:color w:val="6E2639"/>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pPr>
      <w:r w:rsidRPr="007F05F0">
        <w:rPr>
          <w:b/>
          <w:bCs/>
          <w:color w:val="6E2639"/>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 xml:space="preserve">What’s On for Today: </w:t>
      </w:r>
      <w:r w:rsidR="007F05F0" w:rsidRPr="007F05F0">
        <w:rPr>
          <w:b/>
          <w:bCs/>
          <w:color w:val="6E2639"/>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br/>
      </w:r>
      <w:r w:rsidR="00574B1E">
        <w:rPr>
          <w:b/>
          <w:bCs/>
          <w:color w:val="6E2639"/>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Monday</w:t>
      </w:r>
      <w:r w:rsidR="007F05F0" w:rsidRPr="007F05F0">
        <w:rPr>
          <w:b/>
          <w:bCs/>
          <w:color w:val="6E2639"/>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 xml:space="preserve">, </w:t>
      </w:r>
      <w:r w:rsidR="00574B1E">
        <w:rPr>
          <w:b/>
          <w:bCs/>
          <w:color w:val="6E2639"/>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8:30-4:30</w:t>
      </w:r>
    </w:p>
    <w:p w14:paraId="1B55D6BE" w14:textId="77777777" w:rsidR="00574B1E" w:rsidRDefault="000057C1" w:rsidP="00574B1E">
      <w:pPr>
        <w:pStyle w:val="Heading1"/>
        <w:spacing w:after="240"/>
        <w:jc w:val="center"/>
        <w:rPr>
          <w:color w:val="A7A9AC"/>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pPr>
      <w:r w:rsidRPr="007F05F0">
        <w:rPr>
          <w:color w:val="A7A9AC"/>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Activities</w:t>
      </w:r>
    </w:p>
    <w:p w14:paraId="07E4DB53" w14:textId="3CFEF726" w:rsidR="00930993" w:rsidRDefault="00574B1E" w:rsidP="00930993">
      <w:pPr>
        <w:pStyle w:val="ListParagraph"/>
        <w:numPr>
          <w:ilvl w:val="0"/>
          <w:numId w:val="1"/>
        </w:numPr>
        <w:ind w:left="360"/>
        <w:contextualSpacing w:val="0"/>
        <w:rPr>
          <w14:ligatures w14:val="standardContextual"/>
          <w14:numForm w14:val="oldStyle"/>
        </w:rPr>
      </w:pPr>
      <w:r>
        <w:rPr>
          <w14:ligatures w14:val="standardContextual"/>
          <w14:numForm w14:val="oldStyle"/>
        </w:rPr>
        <w:t>Review the materials from yesterday. Prepare any questions or comments you have</w:t>
      </w:r>
      <w:r w:rsidR="00F973D0">
        <w:rPr>
          <w14:ligatures w14:val="standardContextual"/>
          <w14:numForm w14:val="oldStyle"/>
        </w:rPr>
        <w:t xml:space="preserve"> on those resources and through today on the ‘</w:t>
      </w:r>
      <w:proofErr w:type="spellStart"/>
      <w:r w:rsidR="00F973D0">
        <w:rPr>
          <w14:ligatures w14:val="standardContextual"/>
          <w14:numForm w14:val="oldStyle"/>
        </w:rPr>
        <w:t>asynch</w:t>
      </w:r>
      <w:proofErr w:type="spellEnd"/>
      <w:r w:rsidR="00F973D0">
        <w:rPr>
          <w14:ligatures w14:val="standardContextual"/>
          <w14:numForm w14:val="oldStyle"/>
        </w:rPr>
        <w:t>’ activities</w:t>
      </w:r>
      <w:r>
        <w:rPr>
          <w14:ligatures w14:val="standardContextual"/>
          <w14:numForm w14:val="oldStyle"/>
        </w:rPr>
        <w:t>.</w:t>
      </w:r>
    </w:p>
    <w:p w14:paraId="76587D71" w14:textId="77777777" w:rsidR="00574B1E" w:rsidRDefault="00574B1E" w:rsidP="00930993">
      <w:pPr>
        <w:pStyle w:val="ListParagraph"/>
        <w:numPr>
          <w:ilvl w:val="0"/>
          <w:numId w:val="1"/>
        </w:numPr>
        <w:ind w:left="360"/>
        <w:contextualSpacing w:val="0"/>
        <w:rPr>
          <w14:ligatures w14:val="standardContextual"/>
          <w14:numForm w14:val="oldStyle"/>
        </w:rPr>
      </w:pPr>
    </w:p>
    <w:tbl>
      <w:tblPr>
        <w:tblStyle w:val="TableGrid"/>
        <w:tblW w:w="0" w:type="auto"/>
        <w:tblInd w:w="360" w:type="dxa"/>
        <w:tblLook w:val="04A0" w:firstRow="1" w:lastRow="0" w:firstColumn="1" w:lastColumn="0" w:noHBand="0" w:noVBand="1"/>
      </w:tblPr>
      <w:tblGrid>
        <w:gridCol w:w="4493"/>
        <w:gridCol w:w="4497"/>
      </w:tblGrid>
      <w:tr w:rsidR="00292566" w14:paraId="2E9AB502" w14:textId="77777777" w:rsidTr="00292566">
        <w:tc>
          <w:tcPr>
            <w:tcW w:w="4675" w:type="dxa"/>
            <w:shd w:val="clear" w:color="auto" w:fill="FFFFCC"/>
          </w:tcPr>
          <w:p w14:paraId="02D64009" w14:textId="7B9BE906" w:rsidR="00574B1E" w:rsidRPr="00292566" w:rsidRDefault="00574B1E" w:rsidP="00292566">
            <w:pPr>
              <w:spacing w:before="60" w:after="60"/>
              <w:jc w:val="center"/>
              <w:rPr>
                <w:b/>
                <w:bCs/>
                <w14:ligatures w14:val="standardContextual"/>
                <w14:numForm w14:val="oldStyle"/>
              </w:rPr>
            </w:pPr>
            <w:r w:rsidRPr="00292566">
              <w:rPr>
                <w:b/>
                <w:bCs/>
                <w14:ligatures w14:val="standardContextual"/>
                <w14:numForm w14:val="oldStyle"/>
              </w:rPr>
              <w:t>New Teachers</w:t>
            </w:r>
          </w:p>
        </w:tc>
        <w:tc>
          <w:tcPr>
            <w:tcW w:w="4675" w:type="dxa"/>
            <w:shd w:val="clear" w:color="auto" w:fill="FFFFCC"/>
          </w:tcPr>
          <w:p w14:paraId="70635AAE" w14:textId="57D3BDAC" w:rsidR="00574B1E" w:rsidRPr="00292566" w:rsidRDefault="00574B1E" w:rsidP="00292566">
            <w:pPr>
              <w:spacing w:before="60" w:after="60"/>
              <w:jc w:val="center"/>
              <w:rPr>
                <w:b/>
                <w:bCs/>
                <w14:ligatures w14:val="standardContextual"/>
                <w14:numForm w14:val="oldStyle"/>
              </w:rPr>
            </w:pPr>
            <w:r w:rsidRPr="00292566">
              <w:rPr>
                <w:b/>
                <w:bCs/>
                <w14:ligatures w14:val="standardContextual"/>
                <w14:numForm w14:val="oldStyle"/>
              </w:rPr>
              <w:t>Experienced Teachers</w:t>
            </w:r>
          </w:p>
        </w:tc>
      </w:tr>
      <w:tr w:rsidR="00574B1E" w14:paraId="323AB097" w14:textId="77777777" w:rsidTr="00574B1E">
        <w:tc>
          <w:tcPr>
            <w:tcW w:w="4675" w:type="dxa"/>
          </w:tcPr>
          <w:p w14:paraId="32477B1B" w14:textId="1C5C5269" w:rsidR="00574B1E" w:rsidRDefault="00574B1E" w:rsidP="00574B1E">
            <w:pPr>
              <w:rPr>
                <w14:ligatures w14:val="standardContextual"/>
                <w14:numForm w14:val="oldStyle"/>
              </w:rPr>
            </w:pPr>
            <w:r>
              <w:rPr>
                <w14:ligatures w14:val="standardContextual"/>
                <w14:numForm w14:val="oldStyle"/>
              </w:rPr>
              <w:t>Begin your course syllabus by deciding if you are going to (1) create your own (2) adopt one from another teacher, (3) adopt the CED as your syllabus, or (4) something else.</w:t>
            </w:r>
          </w:p>
          <w:p w14:paraId="1CD24550" w14:textId="5C689707" w:rsidR="00F973D0" w:rsidRDefault="00DA3287" w:rsidP="00574B1E">
            <w:pPr>
              <w:rPr>
                <w14:ligatures w14:val="standardContextual"/>
                <w14:numForm w14:val="oldStyle"/>
              </w:rPr>
            </w:pPr>
            <w:r>
              <w:rPr>
                <w14:ligatures w14:val="standardContextual"/>
                <w14:numForm w14:val="oldStyle"/>
              </w:rPr>
              <w:t>Read “What to Cover” for an overview.</w:t>
            </w:r>
          </w:p>
          <w:p w14:paraId="70F37B18" w14:textId="77777777" w:rsidR="00574B1E" w:rsidRDefault="00F973D0" w:rsidP="00574B1E">
            <w:pPr>
              <w:rPr>
                <w14:ligatures w14:val="standardContextual"/>
                <w14:numForm w14:val="oldStyle"/>
              </w:rPr>
            </w:pPr>
            <w:r>
              <w:rPr>
                <w14:ligatures w14:val="standardContextual"/>
                <w14:numForm w14:val="oldStyle"/>
              </w:rPr>
              <w:t>Look through page 1 of the handout “Course Planning.” Fill in all the blanks. This is not public but for you. Use pencil; you’ll want to make changes ;o)</w:t>
            </w:r>
          </w:p>
          <w:p w14:paraId="001ED896" w14:textId="27ADFC1A" w:rsidR="00DA3287" w:rsidRPr="00DA3287" w:rsidRDefault="00DA3287" w:rsidP="00574B1E">
            <w:pPr>
              <w:rPr>
                <w14:ligatures w14:val="standardContextual"/>
                <w14:numForm w14:val="oldStyle"/>
              </w:rPr>
            </w:pPr>
            <w:r>
              <w:rPr>
                <w14:ligatures w14:val="standardContextual"/>
                <w14:numForm w14:val="oldStyle"/>
              </w:rPr>
              <w:t xml:space="preserve">If time permits, use “Unit Planning Guides” to practice sketching out </w:t>
            </w:r>
            <w:r>
              <w:rPr>
                <w:i/>
                <w:iCs/>
                <w14:ligatures w14:val="standardContextual"/>
                <w14:numForm w14:val="oldStyle"/>
              </w:rPr>
              <w:t>one</w:t>
            </w:r>
            <w:r>
              <w:rPr>
                <w14:ligatures w14:val="standardContextual"/>
                <w14:numForm w14:val="oldStyle"/>
              </w:rPr>
              <w:t xml:space="preserve"> unit. You’re looking for the questions that arise.</w:t>
            </w:r>
          </w:p>
        </w:tc>
        <w:tc>
          <w:tcPr>
            <w:tcW w:w="4675" w:type="dxa"/>
          </w:tcPr>
          <w:p w14:paraId="0939D7B3" w14:textId="77777777" w:rsidR="00574B1E" w:rsidRDefault="00574B1E" w:rsidP="00574B1E">
            <w:pPr>
              <w:rPr>
                <w14:ligatures w14:val="standardContextual"/>
                <w14:numForm w14:val="oldStyle"/>
              </w:rPr>
            </w:pPr>
            <w:r>
              <w:rPr>
                <w14:ligatures w14:val="standardContextual"/>
                <w14:numForm w14:val="oldStyle"/>
              </w:rPr>
              <w:t>Look carefully and individually at the Curricular Requirements and the Course Skills. Decide where your course can use adjustment or enhancement. All this remembering that last year cannot be a strong measurement, but it’s all we have.</w:t>
            </w:r>
          </w:p>
          <w:p w14:paraId="0532FDDD" w14:textId="5A845BCF" w:rsidR="00DA3287" w:rsidRDefault="0060302E" w:rsidP="00574B1E">
            <w:pPr>
              <w:rPr>
                <w14:ligatures w14:val="standardContextual"/>
                <w14:numForm w14:val="oldStyle"/>
              </w:rPr>
            </w:pPr>
            <w:r>
              <w:rPr>
                <w14:ligatures w14:val="standardContextual"/>
                <w14:numForm w14:val="oldStyle"/>
              </w:rPr>
              <w:t xml:space="preserve">Use the “Unit Planning Guides” to check or adjust alignment with the </w:t>
            </w:r>
            <w:proofErr w:type="spellStart"/>
            <w:r>
              <w:rPr>
                <w14:ligatures w14:val="standardContextual"/>
                <w14:numForm w14:val="oldStyle"/>
              </w:rPr>
              <w:t>Skills.</w:t>
            </w:r>
            <w:r w:rsidR="00DA3287">
              <w:rPr>
                <w14:ligatures w14:val="standardContextual"/>
                <w14:numForm w14:val="oldStyle"/>
              </w:rPr>
              <w:t>Which</w:t>
            </w:r>
            <w:proofErr w:type="spellEnd"/>
            <w:r w:rsidR="00DA3287">
              <w:rPr>
                <w14:ligatures w14:val="standardContextual"/>
                <w14:numForm w14:val="oldStyle"/>
              </w:rPr>
              <w:t xml:space="preserve"> literary works, long and short, provided payoffs in students’ mastering the Course Skills? Which did not? Which could have under different circumstances or if approached with different strategies?</w:t>
            </w:r>
          </w:p>
          <w:p w14:paraId="4A3C0906" w14:textId="77777777" w:rsidR="00DA3287" w:rsidRDefault="00DA3287" w:rsidP="00574B1E">
            <w:pPr>
              <w:rPr>
                <w14:ligatures w14:val="standardContextual"/>
                <w14:numForm w14:val="oldStyle"/>
              </w:rPr>
            </w:pPr>
            <w:r>
              <w:rPr>
                <w14:ligatures w14:val="standardContextual"/>
                <w14:numForm w14:val="oldStyle"/>
              </w:rPr>
              <w:t xml:space="preserve">Are there new works you are considering adding? </w:t>
            </w:r>
          </w:p>
          <w:p w14:paraId="3A679137" w14:textId="574A5AA5" w:rsidR="0060302E" w:rsidRPr="00574B1E" w:rsidRDefault="0060302E" w:rsidP="00574B1E">
            <w:pPr>
              <w:rPr>
                <w14:ligatures w14:val="standardContextual"/>
                <w14:numForm w14:val="oldStyle"/>
              </w:rPr>
            </w:pPr>
          </w:p>
        </w:tc>
      </w:tr>
    </w:tbl>
    <w:p w14:paraId="705B34EB" w14:textId="77777777" w:rsidR="00574B1E" w:rsidRPr="007F05F0" w:rsidRDefault="00574B1E" w:rsidP="00930993">
      <w:pPr>
        <w:pStyle w:val="ListParagraph"/>
        <w:numPr>
          <w:ilvl w:val="0"/>
          <w:numId w:val="1"/>
        </w:numPr>
        <w:ind w:left="360"/>
        <w:contextualSpacing w:val="0"/>
        <w:rPr>
          <w14:ligatures w14:val="standardContextual"/>
          <w14:numForm w14:val="oldStyle"/>
        </w:rPr>
      </w:pPr>
    </w:p>
    <w:p w14:paraId="2E40D741" w14:textId="12A610F2" w:rsidR="000654C3" w:rsidRPr="007F05F0" w:rsidRDefault="000654C3" w:rsidP="00930993">
      <w:pPr>
        <w:pStyle w:val="ListParagraph"/>
        <w:numPr>
          <w:ilvl w:val="0"/>
          <w:numId w:val="1"/>
        </w:numPr>
        <w:ind w:left="360"/>
        <w:contextualSpacing w:val="0"/>
        <w:rPr>
          <w14:ligatures w14:val="standardContextual"/>
          <w14:numForm w14:val="oldStyle"/>
        </w:rPr>
      </w:pPr>
      <w:r w:rsidRPr="007F05F0">
        <w:rPr>
          <w14:ligatures w14:val="standardContextual"/>
          <w14:numForm w14:val="oldStyle"/>
        </w:rPr>
        <w:t>Review the “Course Norms,” a combination of our norms and those from the College Board and the University of Arkansas at Little Rock.</w:t>
      </w:r>
    </w:p>
    <w:p w14:paraId="7A1BC889" w14:textId="01435881" w:rsidR="000057C1" w:rsidRPr="007F05F0" w:rsidRDefault="000057C1" w:rsidP="00930993">
      <w:pPr>
        <w:pStyle w:val="ListParagraph"/>
        <w:numPr>
          <w:ilvl w:val="0"/>
          <w:numId w:val="1"/>
        </w:numPr>
        <w:ind w:left="360"/>
        <w:contextualSpacing w:val="0"/>
        <w:rPr>
          <w14:ligatures w14:val="standardContextual"/>
          <w14:numForm w14:val="oldStyle"/>
        </w:rPr>
      </w:pPr>
      <w:r w:rsidRPr="007F05F0">
        <w:rPr>
          <w14:ligatures w14:val="standardContextual"/>
          <w14:numForm w14:val="oldStyle"/>
        </w:rPr>
        <w:t xml:space="preserve">Read the Peter </w:t>
      </w:r>
      <w:r w:rsidR="007F05F0" w:rsidRPr="007F05F0">
        <w:rPr>
          <w14:ligatures w14:val="standardContextual"/>
          <w14:numForm w14:val="oldStyle"/>
        </w:rPr>
        <w:t>Viereck</w:t>
      </w:r>
      <w:r w:rsidRPr="007F05F0">
        <w:rPr>
          <w14:ligatures w14:val="standardContextual"/>
          <w14:numForm w14:val="oldStyle"/>
        </w:rPr>
        <w:t xml:space="preserve"> poem, “</w:t>
      </w:r>
      <w:r w:rsidRPr="007F05F0">
        <w:rPr>
          <w:i/>
          <w:iCs/>
          <w14:ligatures w14:val="standardContextual"/>
          <w14:numForm w14:val="oldStyle"/>
        </w:rPr>
        <w:t xml:space="preserve">Vale </w:t>
      </w:r>
      <w:r w:rsidRPr="007F05F0">
        <w:rPr>
          <w14:ligatures w14:val="standardContextual"/>
          <w14:numForm w14:val="oldStyle"/>
        </w:rPr>
        <w:t>from Carthage</w:t>
      </w:r>
      <w:r w:rsidRPr="007F05F0">
        <w:rPr>
          <w:i/>
          <w:iCs/>
          <w14:ligatures w14:val="standardContextual"/>
          <w14:numForm w14:val="oldStyle"/>
        </w:rPr>
        <w:t xml:space="preserve">” </w:t>
      </w:r>
      <w:r w:rsidRPr="007F05F0">
        <w:rPr>
          <w14:ligatures w14:val="standardContextual"/>
          <w14:numForm w14:val="oldStyle"/>
        </w:rPr>
        <w:t>(699). Then write a response of about one page to the poem. The response can take any form you like—an analysis, a personal reaction, anything about the poem and you. The response is private; no one will see it unless you give it to them. After 20 minutes, set the poem and your response aside. We’ll come back to it later.</w:t>
      </w:r>
    </w:p>
    <w:p w14:paraId="423467F6" w14:textId="4450C05F" w:rsidR="000057C1" w:rsidRDefault="000057C1" w:rsidP="00930993">
      <w:pPr>
        <w:pStyle w:val="ListParagraph"/>
        <w:numPr>
          <w:ilvl w:val="0"/>
          <w:numId w:val="1"/>
        </w:numPr>
        <w:ind w:left="360"/>
        <w:contextualSpacing w:val="0"/>
        <w:rPr>
          <w14:ligatures w14:val="standardContextual"/>
          <w14:numForm w14:val="oldStyle"/>
        </w:rPr>
      </w:pPr>
      <w:r w:rsidRPr="007F05F0">
        <w:rPr>
          <w14:ligatures w14:val="standardContextual"/>
          <w14:numForm w14:val="oldStyle"/>
        </w:rPr>
        <w:t>Complete the brief activity, “At the End of the Day</w:t>
      </w:r>
      <w:r w:rsidR="000654C3" w:rsidRPr="007F05F0">
        <w:rPr>
          <w14:ligatures w14:val="standardContextual"/>
          <w14:numForm w14:val="oldStyle"/>
        </w:rPr>
        <w:t>.</w:t>
      </w:r>
      <w:r w:rsidRPr="007F05F0">
        <w:rPr>
          <w14:ligatures w14:val="standardContextual"/>
          <w14:numForm w14:val="oldStyle"/>
        </w:rPr>
        <w:t>”</w:t>
      </w:r>
      <w:r w:rsidR="000654C3" w:rsidRPr="007F05F0">
        <w:rPr>
          <w14:ligatures w14:val="standardContextual"/>
          <w14:numForm w14:val="oldStyle"/>
        </w:rPr>
        <w:t xml:space="preserve"> Keep your response on hand since you will refer to it during our week.</w:t>
      </w:r>
    </w:p>
    <w:p w14:paraId="68F0C9FC" w14:textId="3CAD9CB8" w:rsidR="00345C20" w:rsidRPr="007F05F0" w:rsidRDefault="00345C20" w:rsidP="00930993">
      <w:pPr>
        <w:pStyle w:val="ListParagraph"/>
        <w:numPr>
          <w:ilvl w:val="0"/>
          <w:numId w:val="1"/>
        </w:numPr>
        <w:ind w:left="360"/>
        <w:contextualSpacing w:val="0"/>
        <w:rPr>
          <w14:ligatures w14:val="standardContextual"/>
          <w14:numForm w14:val="oldStyle"/>
        </w:rPr>
      </w:pPr>
      <w:r>
        <w:rPr>
          <w14:ligatures w14:val="standardContextual"/>
          <w14:numForm w14:val="oldStyle"/>
        </w:rPr>
        <w:lastRenderedPageBreak/>
        <w:t>Take a break.</w:t>
      </w:r>
    </w:p>
    <w:p w14:paraId="57D9FB06" w14:textId="13BAA5B4" w:rsidR="000654C3" w:rsidRPr="007F05F0" w:rsidRDefault="000654C3" w:rsidP="00930993">
      <w:pPr>
        <w:pStyle w:val="ListParagraph"/>
        <w:numPr>
          <w:ilvl w:val="0"/>
          <w:numId w:val="1"/>
        </w:numPr>
        <w:ind w:left="360"/>
        <w:contextualSpacing w:val="0"/>
        <w:rPr>
          <w14:ligatures w14:val="standardContextual"/>
          <w14:numForm w14:val="oldStyle"/>
        </w:rPr>
      </w:pPr>
      <w:r w:rsidRPr="007F05F0">
        <w:rPr>
          <w14:ligatures w14:val="standardContextual"/>
          <w14:numForm w14:val="oldStyle"/>
        </w:rPr>
        <w:t xml:space="preserve">Download the page, “Course Skills” and keep it hand for our work on setting up or refining a course. </w:t>
      </w:r>
      <w:r w:rsidR="00930993" w:rsidRPr="007F05F0">
        <w:rPr>
          <w14:ligatures w14:val="standardContextual"/>
          <w14:numForm w14:val="oldStyle"/>
        </w:rPr>
        <w:t>Veterans</w:t>
      </w:r>
      <w:r w:rsidRPr="007F05F0">
        <w:rPr>
          <w14:ligatures w14:val="standardContextual"/>
          <w14:numForm w14:val="oldStyle"/>
        </w:rPr>
        <w:t xml:space="preserve">: Can you give one specific time </w:t>
      </w:r>
      <w:r w:rsidR="00930993" w:rsidRPr="007F05F0">
        <w:rPr>
          <w14:ligatures w14:val="standardContextual"/>
          <w14:numForm w14:val="oldStyle"/>
        </w:rPr>
        <w:t>during</w:t>
      </w:r>
      <w:r w:rsidRPr="007F05F0">
        <w:rPr>
          <w14:ligatures w14:val="standardContextual"/>
          <w14:numForm w14:val="oldStyle"/>
        </w:rPr>
        <w:t xml:space="preserve"> the last year your students worked on each of the 31?</w:t>
      </w:r>
    </w:p>
    <w:p w14:paraId="371B5A4D" w14:textId="452712C0" w:rsidR="000654C3" w:rsidRPr="007F05F0" w:rsidRDefault="000654C3" w:rsidP="00930993">
      <w:pPr>
        <w:pStyle w:val="ListParagraph"/>
        <w:numPr>
          <w:ilvl w:val="0"/>
          <w:numId w:val="1"/>
        </w:numPr>
        <w:ind w:left="360"/>
        <w:contextualSpacing w:val="0"/>
        <w:rPr>
          <w14:ligatures w14:val="standardContextual"/>
          <w14:numForm w14:val="oldStyle"/>
        </w:rPr>
      </w:pPr>
      <w:r w:rsidRPr="007F05F0">
        <w:rPr>
          <w14:ligatures w14:val="standardContextual"/>
          <w14:numForm w14:val="oldStyle"/>
        </w:rPr>
        <w:t>Download the “Curricular Requirements.” For new teachers of AP English Lit and Comp, these are the requirements for being audited to be authorized as a teacher of the course. More on this soon. Veterans: Did your course manage this year to satisfy them all? (In spite of everything?)</w:t>
      </w:r>
    </w:p>
    <w:p w14:paraId="07072E63" w14:textId="0C71ECD2" w:rsidR="000654C3" w:rsidRPr="007F05F0" w:rsidRDefault="000654C3" w:rsidP="00930993">
      <w:pPr>
        <w:pStyle w:val="ListParagraph"/>
        <w:numPr>
          <w:ilvl w:val="0"/>
          <w:numId w:val="1"/>
        </w:numPr>
        <w:ind w:left="360"/>
        <w:contextualSpacing w:val="0"/>
        <w:rPr>
          <w14:ligatures w14:val="standardContextual"/>
          <w14:numForm w14:val="oldStyle"/>
        </w:rPr>
      </w:pPr>
      <w:r w:rsidRPr="007F05F0">
        <w:rPr>
          <w14:ligatures w14:val="standardContextual"/>
          <w14:numForm w14:val="oldStyle"/>
        </w:rPr>
        <w:t xml:space="preserve">The </w:t>
      </w:r>
      <w:r w:rsidR="00930993" w:rsidRPr="007F05F0">
        <w:rPr>
          <w14:ligatures w14:val="standardContextual"/>
          <w14:numForm w14:val="oldStyle"/>
        </w:rPr>
        <w:t xml:space="preserve">first </w:t>
      </w:r>
      <w:r w:rsidRPr="007F05F0">
        <w:rPr>
          <w14:ligatures w14:val="standardContextual"/>
          <w14:numForm w14:val="oldStyle"/>
        </w:rPr>
        <w:t xml:space="preserve">page of the piece “A Path” </w:t>
      </w:r>
      <w:r w:rsidR="00930993" w:rsidRPr="007F05F0">
        <w:rPr>
          <w14:ligatures w14:val="standardContextual"/>
          <w14:numForm w14:val="oldStyle"/>
        </w:rPr>
        <w:t xml:space="preserve">is </w:t>
      </w:r>
      <w:r w:rsidRPr="007F05F0">
        <w:rPr>
          <w14:ligatures w14:val="standardContextual"/>
          <w14:numForm w14:val="oldStyle"/>
        </w:rPr>
        <w:t xml:space="preserve">intended to help a new teacher see the order in which the pieces can profitably come in planning, or revising, the course. Note that students will experience </w:t>
      </w:r>
      <w:r w:rsidR="00930993" w:rsidRPr="007F05F0">
        <w:rPr>
          <w14:ligatures w14:val="standardContextual"/>
          <w14:numForm w14:val="oldStyle"/>
        </w:rPr>
        <w:t xml:space="preserve">those steps </w:t>
      </w:r>
      <w:r w:rsidRPr="007F05F0">
        <w:rPr>
          <w14:ligatures w14:val="standardContextual"/>
          <w14:numForm w14:val="oldStyle"/>
        </w:rPr>
        <w:t xml:space="preserve">in the reverse order. </w:t>
      </w:r>
      <w:r w:rsidR="008606FE" w:rsidRPr="007F05F0">
        <w:rPr>
          <w14:ligatures w14:val="standardContextual"/>
          <w14:numForm w14:val="oldStyle"/>
        </w:rPr>
        <w:t>Record questions or comments it brings up for discussion</w:t>
      </w:r>
      <w:r w:rsidRPr="007F05F0">
        <w:rPr>
          <w14:ligatures w14:val="standardContextual"/>
          <w14:numForm w14:val="oldStyle"/>
        </w:rPr>
        <w:t>.</w:t>
      </w:r>
    </w:p>
    <w:p w14:paraId="45AA5039" w14:textId="2B4D0389" w:rsidR="000654C3" w:rsidRPr="00AF5B66" w:rsidRDefault="00B05CF2" w:rsidP="00AF5B66">
      <w:pPr>
        <w:pStyle w:val="ListParagraph"/>
        <w:numPr>
          <w:ilvl w:val="0"/>
          <w:numId w:val="1"/>
        </w:numPr>
        <w:ind w:left="360"/>
        <w:contextualSpacing w:val="0"/>
        <w:rPr>
          <w14:ligatures w14:val="standardContextual"/>
          <w14:numForm w14:val="oldStyle"/>
        </w:rPr>
      </w:pPr>
      <w:r w:rsidRPr="007F05F0">
        <w:rPr>
          <w14:ligatures w14:val="standardContextual"/>
          <w14:numForm w14:val="oldStyle"/>
        </w:rPr>
        <w:t>View the College Board presentation, “Slide Deck 1 Course &amp; CED.” Take notes on any questions or comments to help with our discussion on Monday.</w:t>
      </w:r>
    </w:p>
    <w:sectPr w:rsidR="000654C3" w:rsidRPr="00AF5B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6413F2"/>
    <w:multiLevelType w:val="hybridMultilevel"/>
    <w:tmpl w:val="BA4EE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7C1"/>
    <w:rsid w:val="000057C1"/>
    <w:rsid w:val="00013F1C"/>
    <w:rsid w:val="00014E5D"/>
    <w:rsid w:val="000570D9"/>
    <w:rsid w:val="000654C3"/>
    <w:rsid w:val="000B0829"/>
    <w:rsid w:val="000D5D2C"/>
    <w:rsid w:val="001077B8"/>
    <w:rsid w:val="0012206E"/>
    <w:rsid w:val="001E5683"/>
    <w:rsid w:val="001F08B7"/>
    <w:rsid w:val="002211D7"/>
    <w:rsid w:val="00232714"/>
    <w:rsid w:val="00292566"/>
    <w:rsid w:val="002A2462"/>
    <w:rsid w:val="002A6C93"/>
    <w:rsid w:val="002B3518"/>
    <w:rsid w:val="002B36E0"/>
    <w:rsid w:val="002E778D"/>
    <w:rsid w:val="00345C20"/>
    <w:rsid w:val="00395009"/>
    <w:rsid w:val="003D3C65"/>
    <w:rsid w:val="00415F00"/>
    <w:rsid w:val="0044009B"/>
    <w:rsid w:val="0047499B"/>
    <w:rsid w:val="00485574"/>
    <w:rsid w:val="00507BAA"/>
    <w:rsid w:val="00564A46"/>
    <w:rsid w:val="00574B1E"/>
    <w:rsid w:val="0059073C"/>
    <w:rsid w:val="005B03A8"/>
    <w:rsid w:val="005B2261"/>
    <w:rsid w:val="005E15C1"/>
    <w:rsid w:val="0060302E"/>
    <w:rsid w:val="0061099B"/>
    <w:rsid w:val="00614143"/>
    <w:rsid w:val="00620187"/>
    <w:rsid w:val="0064387C"/>
    <w:rsid w:val="00647452"/>
    <w:rsid w:val="00654BA8"/>
    <w:rsid w:val="006908AA"/>
    <w:rsid w:val="006934E0"/>
    <w:rsid w:val="006939CC"/>
    <w:rsid w:val="006B542E"/>
    <w:rsid w:val="00703C2F"/>
    <w:rsid w:val="00775BE5"/>
    <w:rsid w:val="007A2061"/>
    <w:rsid w:val="007D2788"/>
    <w:rsid w:val="007E251B"/>
    <w:rsid w:val="007F05F0"/>
    <w:rsid w:val="007F5CDC"/>
    <w:rsid w:val="00804520"/>
    <w:rsid w:val="00860659"/>
    <w:rsid w:val="008606FE"/>
    <w:rsid w:val="00862769"/>
    <w:rsid w:val="00892C3E"/>
    <w:rsid w:val="008B07DF"/>
    <w:rsid w:val="008E7CE9"/>
    <w:rsid w:val="00926552"/>
    <w:rsid w:val="00930993"/>
    <w:rsid w:val="009452CA"/>
    <w:rsid w:val="00986464"/>
    <w:rsid w:val="009C53D1"/>
    <w:rsid w:val="009C5636"/>
    <w:rsid w:val="009E3637"/>
    <w:rsid w:val="009E58C4"/>
    <w:rsid w:val="009F00EB"/>
    <w:rsid w:val="00A04FD8"/>
    <w:rsid w:val="00A11036"/>
    <w:rsid w:val="00A1325F"/>
    <w:rsid w:val="00A24413"/>
    <w:rsid w:val="00A25B59"/>
    <w:rsid w:val="00A43111"/>
    <w:rsid w:val="00AC3CF0"/>
    <w:rsid w:val="00AF2736"/>
    <w:rsid w:val="00AF5B66"/>
    <w:rsid w:val="00B021B5"/>
    <w:rsid w:val="00B05CF2"/>
    <w:rsid w:val="00B16D4C"/>
    <w:rsid w:val="00B47D7E"/>
    <w:rsid w:val="00B51BE6"/>
    <w:rsid w:val="00B648E4"/>
    <w:rsid w:val="00B841C2"/>
    <w:rsid w:val="00B84AE0"/>
    <w:rsid w:val="00BD20A2"/>
    <w:rsid w:val="00BF127A"/>
    <w:rsid w:val="00C363AF"/>
    <w:rsid w:val="00C37F97"/>
    <w:rsid w:val="00C41A9F"/>
    <w:rsid w:val="00C4499C"/>
    <w:rsid w:val="00C83543"/>
    <w:rsid w:val="00CF7BED"/>
    <w:rsid w:val="00D56019"/>
    <w:rsid w:val="00D76046"/>
    <w:rsid w:val="00D779AB"/>
    <w:rsid w:val="00DA3287"/>
    <w:rsid w:val="00DA7D5B"/>
    <w:rsid w:val="00DE48AC"/>
    <w:rsid w:val="00DF6297"/>
    <w:rsid w:val="00DF6DFE"/>
    <w:rsid w:val="00E0310A"/>
    <w:rsid w:val="00E05963"/>
    <w:rsid w:val="00E1501A"/>
    <w:rsid w:val="00E1656D"/>
    <w:rsid w:val="00E86860"/>
    <w:rsid w:val="00EB37C5"/>
    <w:rsid w:val="00EF66CE"/>
    <w:rsid w:val="00F1635D"/>
    <w:rsid w:val="00F378FC"/>
    <w:rsid w:val="00F7185A"/>
    <w:rsid w:val="00F71FD8"/>
    <w:rsid w:val="00F7691E"/>
    <w:rsid w:val="00F9022B"/>
    <w:rsid w:val="00F903D5"/>
    <w:rsid w:val="00F973D0"/>
    <w:rsid w:val="00FD5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BF629"/>
  <w15:chartTrackingRefBased/>
  <w15:docId w15:val="{52965190-92AE-4AA9-B75F-5E0A25D8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B59"/>
    <w:pPr>
      <w:spacing w:after="120" w:line="240" w:lineRule="auto"/>
    </w:pPr>
    <w:rPr>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07DF"/>
    <w:pPr>
      <w:keepNext/>
      <w:keepLines/>
      <w:spacing w:after="240"/>
    </w:pPr>
    <w:rPr>
      <w:rFonts w:ascii="Cambria" w:hAnsi="Cambria"/>
      <w:color w:val="001E78"/>
      <w:sz w:val="36"/>
      <w:szCs w:val="40"/>
      <w:lang w:val="fr-FR"/>
    </w:rPr>
  </w:style>
  <w:style w:type="character" w:customStyle="1" w:styleId="TitleChar">
    <w:name w:val="Title Char"/>
    <w:basedOn w:val="DefaultParagraphFont"/>
    <w:link w:val="Title"/>
    <w:uiPriority w:val="10"/>
    <w:rsid w:val="008B07DF"/>
    <w:rPr>
      <w:rFonts w:ascii="Cambria" w:hAnsi="Cambria"/>
      <w:color w:val="001E78"/>
      <w:sz w:val="36"/>
      <w:szCs w:val="40"/>
      <w:lang w:val="fr-FR"/>
    </w:rPr>
  </w:style>
  <w:style w:type="paragraph" w:customStyle="1" w:styleId="EndStuff">
    <w:name w:val="End Stuff"/>
    <w:basedOn w:val="Normal"/>
    <w:link w:val="EndStuffChar"/>
    <w:qFormat/>
    <w:rsid w:val="00A43111"/>
    <w:pPr>
      <w:spacing w:before="120"/>
      <w:ind w:left="360"/>
      <w:jc w:val="right"/>
    </w:pPr>
    <w:rPr>
      <w:rFonts w:ascii="Cambria" w:hAnsi="Cambria"/>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0570D9"/>
    <w:pPr>
      <w:spacing w:after="240"/>
      <w:jc w:val="center"/>
    </w:pPr>
    <w:rPr>
      <w:rFonts w:ascii="Cambria" w:hAnsi="Cambria"/>
      <w:sz w:val="20"/>
    </w:rPr>
  </w:style>
  <w:style w:type="character" w:customStyle="1" w:styleId="BylineChar">
    <w:name w:val="Byline Char"/>
    <w:basedOn w:val="DefaultParagraphFont"/>
    <w:link w:val="Byline"/>
    <w:rsid w:val="000570D9"/>
    <w:rPr>
      <w:rFonts w:ascii="Cambria" w:hAnsi="Cambria"/>
      <w:sz w:val="20"/>
    </w:rPr>
  </w:style>
  <w:style w:type="paragraph" w:styleId="Subtitle">
    <w:name w:val="Subtitle"/>
    <w:basedOn w:val="Normal"/>
    <w:next w:val="Normal"/>
    <w:link w:val="SubtitleChar"/>
    <w:uiPriority w:val="11"/>
    <w:qFormat/>
    <w:rsid w:val="001077B8"/>
    <w:pPr>
      <w:numPr>
        <w:ilvl w:val="1"/>
      </w:numPr>
      <w:spacing w:after="360"/>
    </w:pPr>
    <w:rPr>
      <w:rFonts w:ascii="Cambria" w:eastAsiaTheme="minorEastAsia" w:hAnsi="Cambria"/>
      <w:iCs/>
      <w:color w:val="002896"/>
      <w:sz w:val="28"/>
      <w:lang w:val="en"/>
      <w14:numForm w14:val="oldStyle"/>
    </w:rPr>
  </w:style>
  <w:style w:type="character" w:customStyle="1" w:styleId="SubtitleChar">
    <w:name w:val="Subtitle Char"/>
    <w:basedOn w:val="DefaultParagraphFont"/>
    <w:link w:val="Subtitle"/>
    <w:uiPriority w:val="11"/>
    <w:rsid w:val="001077B8"/>
    <w:rPr>
      <w:rFonts w:ascii="Cambria" w:eastAsiaTheme="minorEastAsia" w:hAnsi="Cambria"/>
      <w:iCs/>
      <w:color w:val="002896"/>
      <w:sz w:val="28"/>
      <w:lang w:val="en"/>
      <w14:numForm w14:val="oldStyle"/>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4E5D"/>
    <w:rPr>
      <w:rFonts w:ascii="Cambria" w:hAnsi="Cambria" w:cs="Calibri"/>
      <w:i/>
      <w:color w:val="800000"/>
    </w:rPr>
  </w:style>
  <w:style w:type="character" w:customStyle="1" w:styleId="SupertitleChar">
    <w:name w:val="Supertitle Char"/>
    <w:basedOn w:val="DefaultParagraphFont"/>
    <w:link w:val="Supertitle"/>
    <w:rsid w:val="00014E5D"/>
    <w:rPr>
      <w:rFonts w:ascii="Cambria" w:hAnsi="Cambria" w:cs="Calibri"/>
      <w:i/>
      <w:color w:val="800000"/>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paragraph" w:styleId="ListParagraph">
    <w:name w:val="List Paragraph"/>
    <w:basedOn w:val="Normal"/>
    <w:uiPriority w:val="34"/>
    <w:qFormat/>
    <w:rsid w:val="00930993"/>
    <w:pPr>
      <w:ind w:left="720"/>
      <w:contextualSpacing/>
    </w:pPr>
  </w:style>
  <w:style w:type="table" w:styleId="TableGrid">
    <w:name w:val="Table Grid"/>
    <w:basedOn w:val="TableNormal"/>
    <w:uiPriority w:val="39"/>
    <w:rsid w:val="00574B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446</Words>
  <Characters>2546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5</cp:revision>
  <cp:lastPrinted>2021-06-27T06:36:00Z</cp:lastPrinted>
  <dcterms:created xsi:type="dcterms:W3CDTF">2021-06-27T18:52:00Z</dcterms:created>
  <dcterms:modified xsi:type="dcterms:W3CDTF">2021-06-27T19:35:00Z</dcterms:modified>
</cp:coreProperties>
</file>